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 № 67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на  проект решения Совета  Воронцовского сельского поселения Полтавского муниципального района «О бюджете  сельского поселения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2025 год и плановый период 2026 и 2027 годов».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р.п. Полтавка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28 ноября 2024 г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1.Общее положение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Заключение Контрольно-счетного органа муниципального образования «Полтавский муниципальный район Омской области» на проект решения Совета Воронцовского сельского поселения Полтавского муниципального района «О проекте решения о местном бюджете на 2025 год и плановый период 2026 и 2027 годов» (далее по тексту – проект решения или проект бюджета), для рассмотрения в первом чтении  подготовлено в соответствии со статьей 157 Бюджетного кодекса Российской Федерации,  статьей 9 Федерального  закона от 07.02.2011 года № 6-ФЗ «Об общих принципах организации и  деятельности контрольно-счетных органов субъектов Российской Федерации, федеральных территорий и муниципальных образований», Положением о бюджетном процессе в Воронцовском сельском поселении Полтавском муниципальном районе (далее Положение о бюджетном процессе), Положением о Контрольно-счетном органе муниципального образования «Полтавский муниципальный  район Омской области», пунктом 2.18 Плана работы Контрольно-счетного органа муниципального образования на 2024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Цель проведения экспертизы – определить соответствие данного проекта решения, документов представленных с проектом решения действующему бюджетному законодательству и Положению о бюджетном процессе в Воронцовском сельском поселении Полтавского муниципального района, анализ обоснованности его показателей.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 решения о бюджете Воронцовского сельского поселения Полтавского муниципального района на 2025 год и плановый период 2026 и 2027 годов внесен  администрацией муниципального образования на рассмотрение в Совет Воронцовского сельского поселения Полтавского муниципального района 13 ноября 2024 года, что соответствует  Положению о бюджетном процессе - не позднее 15 ноября текущего года.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документов, предоставленных одновременно с проектом решения, соответствуют ст.184.2 БК РФ и ст. 11 Положения о бюджетном процессе в Воронцовском сельском поселении Полтавского муниципального района Омской области.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Вышеуказанные материалы были представлены в Контрольно – счетный орган 14.11.2024г (письмо председателя Совета Воронцовского сельского поселения Полтавского муниципального района), что соответствует статье 13 Положения о бюджетном процессе.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 Анализ соответствия проекта бюджета требованиям бюджетного законодательства</w:t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2.1. Анализ текстовой части проекта бюджета.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Проект  бюджета Воронцо</w:t>
      </w:r>
      <w:r>
        <w:rPr>
          <w:rFonts w:eastAsia="Calibri" w:eastAsiaTheme="minorHAnsi"/>
          <w:color w:val="auto"/>
          <w:lang w:eastAsia="en-US"/>
        </w:rPr>
        <w:t>в</w:t>
      </w:r>
      <w:r>
        <w:rPr/>
        <w:t>ского сельского поселения</w:t>
      </w:r>
      <w:r>
        <w:rPr>
          <w:color w:val="auto"/>
        </w:rPr>
        <w:t xml:space="preserve"> Полтавского муниципального района на 2025 год и  на плановый период 2026 и 2027 годов проанализирован на его соответствие требованиям Бюджетного кодекса Российской Федерации, Федерального закона от 06.10.2003 года №131-ФЗ «Об общих принципах организации местного самоуправления», Устава поселения, Положения о бюджетном процессе.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Проектом бюджета  предлагается утвердить 11 текстовых статей бюджета в том числе: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1 - основные характеристики бюджета, которые рассматриваются в первом чтении (что соответствует требованиям пункта 1 статьи 184.1 БК РФ, пункт 1 статьи 10 Положения о бюджетном процессе). Экспертиза устанавливает согласованность показателей между статьями и приложениями;</w:t>
      </w:r>
    </w:p>
    <w:p>
      <w:pPr>
        <w:pStyle w:val="Normal"/>
        <w:numPr>
          <w:ilvl w:val="0"/>
          <w:numId w:val="0"/>
        </w:numPr>
        <w:spacing w:lineRule="auto" w:line="24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Бюджет на 2025 год и на плановый 2026 и 2027 годов разработан  сбалансированный.</w:t>
      </w:r>
    </w:p>
    <w:p>
      <w:pPr>
        <w:pStyle w:val="Normal"/>
        <w:numPr>
          <w:ilvl w:val="0"/>
          <w:numId w:val="0"/>
        </w:numPr>
        <w:spacing w:lineRule="auto" w:line="24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-статья 2 - отражает источники формирования доходов бюджета по классификации доходов бюджетов РФ  налоговых, неналоговых доходов, безвозмездных поступлений в соответствии со статьей 39, 58, 184.1 БК РФ, пунктом 2 статьи 10 Положения о бюджетном процессе;</w:t>
      </w:r>
    </w:p>
    <w:p>
      <w:pPr>
        <w:pStyle w:val="Normal"/>
        <w:spacing w:lineRule="auto" w:line="240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3 - закрепляет объем бюджетных ассигнований на исполнение публичных нормативных обязательств (в соответствии со статьей 184.1 БК РФ, пунктом 2 статьи 10 Положения о бюджетном процессе);  объем бюджетных ассигнований дорожного фонда (в соответствии с пунктом 5 статьи 179.4 БК РФ, пунктом 2 статьи 10 Положения о бюджетном процессе); утверждает распределение бюджетных ассигнований (в соответствии с требованиями статьи 184.1 БК РФ, пунктом 2 статьи 10 Положения о бюджетном процессе); устанавливают особенности внесения изменений в сводную бюджетную роспись расходов без внесения изменений в бюджет (в соответствии с пунктом 8 статьи 217 БК РФ).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4 -  устанавливает размер резервного фонда (в соответствии со статьей 81 БК РФ);</w:t>
      </w:r>
    </w:p>
    <w:p>
      <w:pPr>
        <w:pStyle w:val="Normal"/>
        <w:spacing w:lineRule="auto" w:line="240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5 – определяет особенности использования бюджетных ассигнований по обеспечению деятельности органов местного самоуправления;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6 -  утверждается объем межбюджетных трансфертов (в соответствии с пунктом 3 статьи 184.1 БК РФ, пунктом 2 статьи 10 Положения о бюджетном процессе);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-статьей 7 - иные показатели бюджета (в соответствии с пунктом 4 статьи 101,   статьи 103, статьями 107, 108.4, 110.1, 111 БК РФ, статьей 10 Положения о бюджетном процессе):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управление муниципальным внутренним долгом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(верхний предел муниципального внутреннего долга и  верхний предел долга по муниципальным гарантиям, а также объем расходов на его обслуживание);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 </w:t>
      </w:r>
      <w:r>
        <w:rPr>
          <w:rFonts w:cs="Times New Roman" w:ascii="Times New Roman" w:hAnsi="Times New Roman"/>
          <w:sz w:val="24"/>
          <w:szCs w:val="24"/>
        </w:rPr>
        <w:t xml:space="preserve"> источники финансирования дефицита местного бюджета;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программу муниципальных внутренних заимствований.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предоставление муниципальных гарантий.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Статьей 8, 9,10 в соответствии со статьей 215.1 БК РФ предусматриваются: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особенности погашения кредиторской задолженности главных распорядителей средств местного бюджета;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положения по авансированию расходных обязательств получателей средств местного бюджета;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использование остатков средств местного бюджета  имеющих целевое назначение (согласно пункта 2 статьи 10 проекта решения в соответствии с пунктом 5 статьи 242 БК РФ).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Статьей 11 установлен срок вступления в силу (согласно статьи 5 БК РФ, пункта 5 статьи 12 Положения о бюджетном процессе).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Статьи 2,3,7 утверждают Приложения к проекту бюджета, которые  составляют 7 табличных приложений.</w:t>
      </w:r>
    </w:p>
    <w:p>
      <w:pPr>
        <w:pStyle w:val="Normal"/>
        <w:spacing w:lineRule="auto" w:line="240"/>
        <w:ind w:firstLine="709" w:left="567"/>
        <w:jc w:val="both"/>
        <w:rPr/>
      </w:pPr>
      <w:r>
        <w:rPr>
          <w:rFonts w:ascii="Times New Roman" w:hAnsi="Times New Roman"/>
          <w:i/>
          <w:sz w:val="24"/>
          <w:szCs w:val="24"/>
        </w:rPr>
        <w:t>Предложенные текстовые статьи не противоречат Бюджетному кодексу РФ,  муниципальным нормативным правовым актам и приложенным к проекту бюджета документам и приложениям.</w:t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2.2. Анализ перечня и содержания документов, представленных одновременно</w:t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с проектом бюджета на 2024 год </w:t>
      </w:r>
      <w:r>
        <w:rPr>
          <w:b/>
          <w:color w:val="auto"/>
        </w:rPr>
        <w:t>и на плановый период 2025 и 2026 годов</w:t>
      </w:r>
      <w:r>
        <w:rPr>
          <w:b/>
          <w:bCs/>
          <w:color w:val="auto"/>
        </w:rPr>
        <w:t>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Перечень документов и материалов, которые в соответствии со статьей 184.2 БК РФ, статьей 11 Положения о бюджетном процессе в Воронцо</w:t>
      </w:r>
      <w:r>
        <w:rPr>
          <w:rFonts w:eastAsia="Calibri" w:eastAsiaTheme="minorHAnsi"/>
          <w:color w:val="auto"/>
          <w:lang w:eastAsia="en-US"/>
        </w:rPr>
        <w:t>в</w:t>
      </w:r>
      <w:r>
        <w:rPr/>
        <w:t>ском</w:t>
      </w:r>
      <w:r>
        <w:rPr>
          <w:color w:val="auto"/>
        </w:rPr>
        <w:t xml:space="preserve"> сельском поселении должны представляться одновременно с проектом бюджета, соответствуют требованиям бюджетного законодательства. </w:t>
      </w:r>
    </w:p>
    <w:p>
      <w:pPr>
        <w:pStyle w:val="Default"/>
        <w:ind w:firstLine="709"/>
        <w:jc w:val="both"/>
        <w:rPr>
          <w:color w:val="auto"/>
        </w:rPr>
      </w:pPr>
      <w:r>
        <w:rPr>
          <w:b/>
          <w:color w:val="auto"/>
        </w:rPr>
        <w:t>Основные направления бюджетной и налоговой политики</w:t>
      </w:r>
      <w:r>
        <w:rPr>
          <w:color w:val="auto"/>
        </w:rPr>
        <w:t xml:space="preserve"> муниципального образования на 2025 год и на плановый период 2026 и 2027 годов утверждены распоряжением администрации от 05.09.2024 года №36.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Как следует из Основных направлений, бюджетной и  налоговой политики основной целью является сбалансированность и устойчивость бюджета, а также обеспечение прозрачности и открытости бюджетного планирования.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Основными задачами налоговой  политики муниципального образования  на 2025-2027 годы  являются, обеспечение сбалансированности и устойчивости местного бюджета, обеспечение стабильности поступления доходов бюджет района, поддержка предпринимательской активности, совершенствование налогового администрирования и поддержание сбалансированности бюджета района.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В соответствии со статьей 169 БК РФ, проект бюджета составляется на основе </w:t>
      </w:r>
      <w:r>
        <w:rPr>
          <w:b/>
          <w:color w:val="auto"/>
        </w:rPr>
        <w:t>прогноза социально-экономического развития</w:t>
      </w:r>
      <w:r>
        <w:rPr>
          <w:color w:val="auto"/>
        </w:rPr>
        <w:t xml:space="preserve"> в целях финансового обеспечения расходных обязательств. Надежность показателей прогноза социально-экономического развития является важнейшей составляющей принципа достоверности бюджета, определенного статьей 37 БК РФ.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Согласно пункта 2 статьи 173 БК РФ прогноз социально-экономического развития муниципального образования ежегодно разрабатывается в порядке, установленном местной администрацией.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Прогноз социально-экономического развития поселения на 2025–2027 годы  одобрен распоряжением администрации Воронцовского сельского поселения от 13.11.2024 г. (далее – Прогноз), что соответствует  БК РФ и  Положению о бюджетном процессе, согласно которым прогноз одобряется одновременно с принятием решения о внесении проекта бюджета в представительный орган.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Прогноз социально-экономического развития представлен в двух вариантах. В пояснительной записке, представленной одновременно с прогнозом,  определено, что варианты прогноза определяются в соответствии со сценарными условиями социально-экономического развития на очередной финансовый год и плановый период. Первый вариант прогноза отражает более низкие темпы развития экономики и социальной сферы. 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формировании проекта местного бюджета используется базовый вариант прогноза, с учетом положений Основных направлений бюджетной и налоговой политики, Бюджетного прогноза на долгосрочный период до 2028 года, мероприятий муниципальных программ. 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Экспертиза представленных документов установила </w:t>
      </w:r>
      <w:r>
        <w:rPr>
          <w:b/>
          <w:bCs/>
          <w:color w:val="auto"/>
        </w:rPr>
        <w:t>несоответствие</w:t>
      </w:r>
      <w:r>
        <w:rPr>
          <w:color w:val="auto"/>
        </w:rPr>
        <w:t xml:space="preserve"> данных отраженных в Прогнозе социально-экономического развития и Пояснительной записке к прогнозу социально-экономического развития (отличное значение урожайности зерновых культур на 2027 года первый вариант и второй вариант; в Пояснительной записке анализируются среднедушевые денежные доходы в месяц, а Прогноз содержит показатель «среднемесячная номинальная начисленная заработная плата»).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Пояснительной запиской к прогнозу социально-экономического развития </w:t>
      </w:r>
      <w:r>
        <w:rPr>
          <w:color w:val="auto"/>
          <w:sz w:val="24"/>
          <w:szCs w:val="24"/>
        </w:rPr>
        <w:t xml:space="preserve"> в основном ведется анализ показателей 2027 года к уровню 2024 года, показатели прогноза 2025 и 2026 годов не анализируются, что является</w:t>
      </w:r>
      <w:r>
        <w:rPr>
          <w:rFonts w:cs="Times New Roman"/>
          <w:color w:val="auto"/>
          <w:sz w:val="24"/>
          <w:szCs w:val="24"/>
        </w:rPr>
        <w:t xml:space="preserve"> </w:t>
      </w:r>
      <w:r>
        <w:rPr>
          <w:rFonts w:cs="Times New Roman"/>
          <w:b/>
          <w:bCs/>
          <w:color w:val="auto"/>
          <w:sz w:val="24"/>
          <w:szCs w:val="24"/>
        </w:rPr>
        <w:t>нарушением пункта 4 статьи 173 БК</w:t>
      </w:r>
      <w:r>
        <w:rPr>
          <w:rFonts w:cs="Times New Roman"/>
          <w:color w:val="auto"/>
          <w:sz w:val="24"/>
          <w:szCs w:val="24"/>
        </w:rPr>
        <w:t xml:space="preserve">  (</w:t>
      </w:r>
      <w:r>
        <w:rPr>
          <w:b/>
          <w:bCs/>
          <w:color w:val="auto"/>
          <w:sz w:val="24"/>
          <w:szCs w:val="24"/>
        </w:rPr>
        <w:t>отсутствует обоснование параметров прогноза,</w:t>
      </w:r>
      <w:r>
        <w:rPr>
          <w:color w:val="auto"/>
          <w:sz w:val="24"/>
          <w:szCs w:val="24"/>
        </w:rPr>
        <w:t xml:space="preserve"> в том числе их сопоставление с ранее утвержденными параметрами с указанием причин и факторов прогнозируемых изменений).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Согласно </w:t>
      </w:r>
      <w:r>
        <w:rPr>
          <w:b/>
          <w:color w:val="auto"/>
        </w:rPr>
        <w:t>Оценке ожидаемого исполнения бюджета</w:t>
      </w:r>
      <w:r>
        <w:rPr>
          <w:color w:val="auto"/>
        </w:rPr>
        <w:t xml:space="preserve"> поселения по итогам 2024 года исполнение доходной части ожидается с ростом к уточненным плановым значениям бюджета 2024 года, расходной частей бюджета в пределах показателей уточненного планового значения бюджета на 2024 год.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Рассмотрев направленный проект бюджета, пояснительную записку и справочный материал к проекту бюджета, а также другие документы, представленные одновременно с проектом бюджета Контрольно-счетный орган муниципального образования отмечает следующее.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3.Основные характеристики проекта решения «О бюджете муниципального района на 2025 год и плановый период 2026 и 2027 годов»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Основные характеристики бюджета поселения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 сформированы в соответствии с: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основными направлениями бюджетной и налоговой политики сельского поселения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основными показателями прогноза социально-экономического развития сельского поселения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муниципальными программами сельского поселения, проектами изменений указанных программ.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Данные об основных характеристиках местного бюджета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 в сравнении с 2024 годом представлены в таблице.</w:t>
      </w:r>
    </w:p>
    <w:tbl>
      <w:tblPr>
        <w:tblStyle w:val="af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97"/>
        <w:gridCol w:w="1178"/>
        <w:gridCol w:w="1063"/>
        <w:gridCol w:w="1165"/>
        <w:gridCol w:w="708"/>
        <w:gridCol w:w="656"/>
        <w:gridCol w:w="1048"/>
        <w:gridCol w:w="804"/>
        <w:gridCol w:w="1035"/>
        <w:gridCol w:w="816"/>
      </w:tblGrid>
      <w:tr>
        <w:trPr/>
        <w:tc>
          <w:tcPr>
            <w:tcW w:w="109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7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 xml:space="preserve">Первоначальная редакция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решение Совета от 06.12.2023 №56</w:t>
            </w:r>
          </w:p>
        </w:tc>
        <w:tc>
          <w:tcPr>
            <w:tcW w:w="106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 учетом изменений (уточненный бюджет редакция от 27.09.2024 № 34</w:t>
            </w:r>
          </w:p>
        </w:tc>
        <w:tc>
          <w:tcPr>
            <w:tcW w:w="2529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2025 год</w:t>
            </w:r>
          </w:p>
        </w:tc>
        <w:tc>
          <w:tcPr>
            <w:tcW w:w="185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2026 год</w:t>
            </w:r>
          </w:p>
        </w:tc>
        <w:tc>
          <w:tcPr>
            <w:tcW w:w="1851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2027 год</w:t>
            </w:r>
          </w:p>
        </w:tc>
      </w:tr>
      <w:tr>
        <w:trPr/>
        <w:tc>
          <w:tcPr>
            <w:tcW w:w="109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7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65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1364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2024 году, в %</w:t>
            </w:r>
          </w:p>
        </w:tc>
        <w:tc>
          <w:tcPr>
            <w:tcW w:w="104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80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2025 году , в %</w:t>
            </w:r>
          </w:p>
        </w:tc>
        <w:tc>
          <w:tcPr>
            <w:tcW w:w="1035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81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2026 году, в %</w:t>
            </w:r>
          </w:p>
        </w:tc>
      </w:tr>
      <w:tr>
        <w:trPr/>
        <w:tc>
          <w:tcPr>
            <w:tcW w:w="109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7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к первонач ред.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 учетом изменен.</w:t>
            </w:r>
          </w:p>
        </w:tc>
        <w:tc>
          <w:tcPr>
            <w:tcW w:w="104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0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1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Доходы, всего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10 536 473,07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11 178 684,07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11 546 577,85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109,59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103,29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10 625 800,47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92,03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11 563 280,98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99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bookmarkStart w:id="1" w:name="_Hlk152414275"/>
            <w:bookmarkEnd w:id="1"/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108,82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 том числе: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 и неналоговые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6 287 690,00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6 464 429,00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7 005 643,00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111,42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108,37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6 946 624,00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99,16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7 607 201,00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109,51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4 248 783,07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4 714 255,07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4 540 934,85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106,88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96,32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3 679 176,47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81,02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3 956 079,98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107,53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расходы всего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10 536 473,07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15 593 626,24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11 546 577,85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109,59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74,05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10 625 800,47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92,03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11 563 280,98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108,82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 том числе: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2098" w:hRule="atLeast"/>
        </w:trPr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за счет налоговых и неналоговых доходов, поступлений нецелевого характера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10 536 473,07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15 128 154,24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11 361 586,85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107,83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75,10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10 422 365,47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91,73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11 352 189,98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108,92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условно утверждаемые расходы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cs="Times New Roman"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260 585,00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567 610,00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217,82</w:t>
            </w:r>
          </w:p>
        </w:tc>
      </w:tr>
      <w:tr>
        <w:trPr/>
        <w:tc>
          <w:tcPr>
            <w:tcW w:w="10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Дефицит (-), профицит (+)</w:t>
            </w:r>
          </w:p>
        </w:tc>
        <w:tc>
          <w:tcPr>
            <w:tcW w:w="11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1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-4 414 942,17</w:t>
            </w:r>
          </w:p>
        </w:tc>
        <w:tc>
          <w:tcPr>
            <w:tcW w:w="1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bookmarkStart w:id="2" w:name="_Hlk152413530"/>
            <w:bookmarkEnd w:id="2"/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 бюджета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 соответствует установленным БК РФ принципам сбалансированности бюджета (статья 33 БК РФ) и общего (совокупного) покрытия расходов бюджета (статья 35 БК РФ).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Проектом решения предлагается утвердить поступление доходных источников местного бюджета на 2025 год в сумме 11 546 577,85 рублей с ростом к уровню первоначальной редакции бюджета 2024 года (сопоставимые условия) на 9,59% и относительно уточненной редакции бюджета 2024 года на 3,29%. Плановый период 2026 года запланирован в сумме 10 625 800,47 рублей со снижением к уровню 2025 года на 7,97%, в 2027 году в сумме 11 563 280,98 рублей с ростом к уровню 2026 года на 8,82%.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ассигнования на исполнение действующих и принимаемых расходных обязательств запланированы на 2025 год в сумме 11 546 577,85 рублей с ростом к уровню первоначальной редакции бюджета 2024 года на 9,59% и снижением к уровню уточненной редакции бюджета на 25,95%. В плановом периоде 2026 года расходная часть предусмотрена в сумме 10 625 800,47 рублей со снижением к уровню 2025 года на 7,97%, в 2027 году в сумме 11 563 280,98 рублей с ростом к уровню 2026 года на 8,82% (с  учетом условно утверждаемых расходов).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плановом периоде о</w:t>
      </w:r>
      <w:r>
        <w:rPr>
          <w:rFonts w:cs="Times New Roman" w:ascii="Times New Roman" w:hAnsi="Times New Roman"/>
          <w:sz w:val="24"/>
          <w:szCs w:val="24"/>
        </w:rPr>
        <w:t xml:space="preserve">бъем условно утверждаемых расходов на 2026 и 2027 годы сформирован в сумме 260 585,00 рублей и 567 610,00 рублей соответственно (без учета расходов бюджета предусмотренных за счет межбюджетных трансфертов из других бюджетов бюджетной системы РФ, имеющих целевое назначение), что соответствует требованиям пункта 3 статьи 184.1 БК РФ (не менее 2,5% и 5% соответственно по годам). </w:t>
      </w:r>
    </w:p>
    <w:p>
      <w:pPr>
        <w:pStyle w:val="Default"/>
        <w:ind w:firstLine="709"/>
        <w:jc w:val="both"/>
        <w:rPr/>
      </w:pPr>
      <w:r>
        <w:rPr/>
        <w:t>Указанные расходы не распределены в плановом периоде по разделам, подразделам, целевым статьям и видам расходов в ведомственной структуре расходов бюджета как резерв на случай непредвиденного сокращения доходов бюджета. Если прогноз доходов подтвердится, этот резерв используется для принятия новых обязательств в очередном бюджетном цикле.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Бюджет на 2025 год и на плановый 2026 и 2027 годов сформирован сбалансированный.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firstLine="709"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Доходы бюджета.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налоговых и неналоговых доходов местного бюджета осуществлялось на основе прогноза социально-экономического развития Воронцовского сельского поселения Полтавского муниципального района,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поступлений по налоговым и неналоговым доходам в бюджет за 2024 г.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Предусмотренные проектом решения виды налоговых и неналоговых доходов местного бюджета соответствуют перечню, установленному БК РФ. </w:t>
      </w:r>
      <w:bookmarkStart w:id="3" w:name="OLE_LINK4"/>
      <w:bookmarkStart w:id="4" w:name="OLE_LINK5"/>
      <w:bookmarkEnd w:id="3"/>
      <w:bookmarkEnd w:id="4"/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со статьей 160.1 БК РФ прогноз налоговых и неналоговых доходов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 сформирован в объемах, спрогнозированных главными администраторами доходов местного бюджета по утвержденным им методикам.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Структура доходов на 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025 год и плановый период 2026 и 2027</w:t>
      </w:r>
      <w:r>
        <w:rPr>
          <w:rFonts w:cs="Times New Roman" w:ascii="Times New Roman" w:hAnsi="Times New Roman"/>
          <w:sz w:val="24"/>
          <w:szCs w:val="24"/>
        </w:rPr>
        <w:t xml:space="preserve"> годов в сравнении с 2024 годом представлена в следующей таблице</w:t>
      </w:r>
    </w:p>
    <w:tbl>
      <w:tblPr>
        <w:tblStyle w:val="af3"/>
        <w:tblW w:w="10090" w:type="dxa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82"/>
        <w:gridCol w:w="1191"/>
        <w:gridCol w:w="1024"/>
        <w:gridCol w:w="1191"/>
        <w:gridCol w:w="737"/>
        <w:gridCol w:w="792"/>
        <w:gridCol w:w="1078"/>
        <w:gridCol w:w="679"/>
        <w:gridCol w:w="1024"/>
        <w:gridCol w:w="791"/>
      </w:tblGrid>
      <w:tr>
        <w:trPr/>
        <w:tc>
          <w:tcPr>
            <w:tcW w:w="158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Наименование  показателя</w:t>
            </w:r>
          </w:p>
        </w:tc>
        <w:tc>
          <w:tcPr>
            <w:tcW w:w="2215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Утверждено на 2024 год</w:t>
            </w:r>
          </w:p>
        </w:tc>
        <w:tc>
          <w:tcPr>
            <w:tcW w:w="6292" w:type="dxa"/>
            <w:gridSpan w:val="7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Предусмотрено проектом решения</w:t>
            </w:r>
          </w:p>
        </w:tc>
      </w:tr>
      <w:tr>
        <w:trPr/>
        <w:tc>
          <w:tcPr>
            <w:tcW w:w="158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1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первоначальная редакция, рублей (06.12.2023 №56)</w:t>
            </w:r>
          </w:p>
        </w:tc>
        <w:tc>
          <w:tcPr>
            <w:tcW w:w="1024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с учетом изменений (ред. от 27.09.2024г № 34) рублей</w:t>
            </w:r>
          </w:p>
        </w:tc>
        <w:tc>
          <w:tcPr>
            <w:tcW w:w="2720" w:type="dxa"/>
            <w:gridSpan w:val="3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2025 год</w:t>
            </w:r>
          </w:p>
        </w:tc>
        <w:tc>
          <w:tcPr>
            <w:tcW w:w="1757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2026 год</w:t>
            </w:r>
          </w:p>
        </w:tc>
        <w:tc>
          <w:tcPr>
            <w:tcW w:w="1815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2027 год</w:t>
            </w:r>
          </w:p>
        </w:tc>
      </w:tr>
      <w:tr>
        <w:trPr>
          <w:trHeight w:val="746" w:hRule="atLeast"/>
        </w:trPr>
        <w:tc>
          <w:tcPr>
            <w:tcW w:w="158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1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2024 году, % к первоначальной редакции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2024 году, %с учетом изменений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2025 году, %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2026 году, %</w:t>
            </w:r>
          </w:p>
        </w:tc>
      </w:tr>
      <w:tr>
        <w:trPr>
          <w:trHeight w:val="571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 и неналоговые доходы, в т.ч.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6 287 690,00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6 464 429,00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7 005 643,00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111,42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108,37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6 946 624,00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99,16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7 607 201,00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78,86</w:t>
            </w:r>
          </w:p>
        </w:tc>
      </w:tr>
      <w:tr>
        <w:trPr>
          <w:trHeight w:val="337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59,68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57,83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60,67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65,38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65,79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344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4  543 105,00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4 719 844,00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5 108 064,00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112,44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108,23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5 049 045,00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98,84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5 709 622,00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113,08</w:t>
            </w:r>
          </w:p>
        </w:tc>
      </w:tr>
      <w:tr>
        <w:trPr>
          <w:trHeight w:val="455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72,25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73,01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72,91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72,68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75,06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400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 на доход физических лиц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276 317,00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276 317,00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319 321,00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115,56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115,56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336 910,00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105,51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353 691,00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104,98</w:t>
            </w:r>
          </w:p>
        </w:tc>
      </w:tr>
      <w:tr>
        <w:trPr>
          <w:trHeight w:val="512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4,39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4,26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4,56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4,85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4,65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746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налоги на товары реализуемые на территории РФ(АКЦИЗЫ)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2 022 808,00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2 199 547,00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2 394 888,00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118,39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108,88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2 318 066,00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96,79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2 961 661,00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127,76</w:t>
            </w:r>
          </w:p>
        </w:tc>
      </w:tr>
      <w:tr>
        <w:trPr>
          <w:trHeight w:val="501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32,18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34,03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34,18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33,36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38,93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447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налоги на совокупный доход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35 980,00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35 980,00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15 255,00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42,40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42,40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15 469,00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101,40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15 670,00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101,30</w:t>
            </w:r>
          </w:p>
        </w:tc>
      </w:tr>
      <w:tr>
        <w:trPr>
          <w:trHeight w:val="512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0,57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0,56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0,22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0,22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0,21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223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 на имущество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2 201 000,00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2 201 000,00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2 372 000,00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107,77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107,77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2 372 000,00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2 372 000,00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456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35,00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34,05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33,86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34,15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31,18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345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государственная пошлина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7 000,00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7 000,00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6 600,00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94,29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94,29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6 600,00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6 600,00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447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0,11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0,11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0,09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0,10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344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неналоговые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1 744 585,00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1 744 585,00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108,77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108,77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12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27,75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26,99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27,09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27,32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24,94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746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1 744 585,00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1 744 585,00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108,77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108,77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1 897 579,00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01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27,75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26,99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27,09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27,32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24,94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400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4 248 783,07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4 714 255,07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4 540 934,85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106,88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96,32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3 679 176,47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81,02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3 956 079,98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highlight w:val="none"/>
                <w:shd w:fill="auto" w:val="clear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shd w:fill="auto" w:val="clear"/>
                <w:vertAlign w:val="baseline"/>
                <w:lang w:val="ru-RU" w:bidi="ar-SA"/>
              </w:rPr>
              <w:t>107,53</w:t>
            </w:r>
          </w:p>
        </w:tc>
      </w:tr>
      <w:tr>
        <w:trPr>
          <w:trHeight w:val="335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доходов,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40,32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42,17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39,33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34,62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34,21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746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Дотации бюджетам бюджетной системы Российской Федерации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4 248 783,07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4 248 783,07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4 355 943,85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102,52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102,52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3 475 741,47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79,79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3 744 988,98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101,79</w:t>
            </w:r>
          </w:p>
        </w:tc>
      </w:tr>
      <w:tr>
        <w:trPr>
          <w:trHeight w:val="446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безвозмездных поступлений.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90,13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95,93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94,47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94,66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746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177 696,00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184 991,00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104,11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203 435,00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110,03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211 091,00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103,76</w:t>
            </w:r>
          </w:p>
        </w:tc>
      </w:tr>
      <w:tr>
        <w:trPr>
          <w:trHeight w:val="501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безвозмездных поступлений.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3,77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4,07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5,53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5,34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400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287 776,00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</w:tr>
      <w:tr>
        <w:trPr>
          <w:trHeight w:val="456" w:hRule="atLeast"/>
        </w:trPr>
        <w:tc>
          <w:tcPr>
            <w:tcW w:w="15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2"/>
                <w:sz w:val="12"/>
                <w:szCs w:val="12"/>
                <w:vertAlign w:val="baseline"/>
              </w:rPr>
              <w:t>Уд вес в структуре безвозмездных поступлений. %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6,10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280" w:hRule="atLeast"/>
        </w:trPr>
        <w:tc>
          <w:tcPr>
            <w:tcW w:w="15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Всего доходов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10 536 473,07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11 178 684,07</w:t>
            </w:r>
          </w:p>
        </w:tc>
        <w:tc>
          <w:tcPr>
            <w:tcW w:w="11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11 546 577,85</w:t>
            </w:r>
          </w:p>
        </w:tc>
        <w:tc>
          <w:tcPr>
            <w:tcW w:w="73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109,59</w:t>
            </w:r>
          </w:p>
        </w:tc>
        <w:tc>
          <w:tcPr>
            <w:tcW w:w="79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103,29</w:t>
            </w:r>
          </w:p>
        </w:tc>
        <w:tc>
          <w:tcPr>
            <w:tcW w:w="107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10 625 800,47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92,03</w:t>
            </w:r>
          </w:p>
        </w:tc>
        <w:tc>
          <w:tcPr>
            <w:tcW w:w="10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11 563 280,98</w:t>
            </w:r>
          </w:p>
        </w:tc>
        <w:tc>
          <w:tcPr>
            <w:tcW w:w="791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108,82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структуре доходных источников поступление </w:t>
      </w:r>
      <w:r>
        <w:rPr>
          <w:rFonts w:cs="Times New Roman" w:ascii="Times New Roman" w:hAnsi="Times New Roman"/>
          <w:b/>
          <w:i/>
          <w:sz w:val="24"/>
          <w:szCs w:val="24"/>
        </w:rPr>
        <w:t>налоговых и неналоговых доходов</w:t>
      </w:r>
      <w:r>
        <w:rPr>
          <w:rFonts w:cs="Times New Roman" w:ascii="Times New Roman" w:hAnsi="Times New Roman"/>
          <w:sz w:val="24"/>
          <w:szCs w:val="24"/>
        </w:rPr>
        <w:t xml:space="preserve"> в 2025 году запланировано в объеме 7 005 643,00 рублей (60,67% в структуре доходов) с ростом к уровню первоначальной и уточненной редакции бюджета 2024 года на 11,42% и8,37% соответственно, в 2026 году в сумме 6 946 624,00 рублей (65,38% в структуре доходов) со снижением к уровню 2025 года на 0,84%, в 2027 году 7 607 201,00 рублей (65,79% в структуре доходов) со снижением к уровню 2026 года на 21,14%.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Поступление </w:t>
      </w:r>
      <w:r>
        <w:rPr>
          <w:rFonts w:cs="Times New Roman" w:ascii="Times New Roman" w:hAnsi="Times New Roman"/>
          <w:b/>
          <w:sz w:val="24"/>
          <w:szCs w:val="24"/>
        </w:rPr>
        <w:t>налога на доход физических лиц</w:t>
      </w:r>
      <w:r>
        <w:rPr>
          <w:rFonts w:cs="Times New Roman" w:ascii="Times New Roman" w:hAnsi="Times New Roman"/>
          <w:sz w:val="24"/>
          <w:szCs w:val="24"/>
        </w:rPr>
        <w:t xml:space="preserve"> в 2025 году предусмотрено в объеме 319 321,00 рублей (в структуре налоговых доходов имеет долю 4,26%) с ростом к уровню 2024 года на 15,56%, в плановом 2026 году в сумме 336 910,00,00 с ростом к уровню 2025 года на 5,51, в 2027 году в сумме 353 691,00 рублей с ростом к уровню 2026 года на 4,98%. </w:t>
      </w:r>
    </w:p>
    <w:p>
      <w:pPr>
        <w:pStyle w:val="BodyTextIndent"/>
        <w:spacing w:before="0" w:after="0"/>
        <w:ind w:firstLine="709" w:left="0"/>
        <w:jc w:val="both"/>
        <w:rPr/>
      </w:pPr>
      <w:r>
        <w:rPr>
          <w:rFonts w:cs="Times New Roman"/>
          <w:sz w:val="24"/>
          <w:szCs w:val="24"/>
        </w:rPr>
        <w:t>Прогноз поступлений определен исходя из оценки ожидаемых поступлений по налогу на доходы физических лиц в 2024 году,  с учетом динамики показателя «Фонда начисленной заработной платы работников» прогноза социально-экономического развития Воронцовского сельского поселения на 2025 год и на плановый период до 2027 года.</w:t>
      </w:r>
    </w:p>
    <w:p>
      <w:pPr>
        <w:pStyle w:val="Style91"/>
        <w:widowControl/>
        <w:spacing w:lineRule="auto" w:line="240"/>
        <w:ind w:firstLine="709"/>
        <w:rPr/>
      </w:pPr>
      <w:r>
        <w:rPr>
          <w:b/>
        </w:rPr>
        <w:t>Налоги на товары реализуемые на территории РФ (АКЦИЗЫ)</w:t>
      </w:r>
      <w:r>
        <w:rPr/>
        <w:t xml:space="preserve"> сформированы в 2025 году в сумме 2 394 888,00 рублей (в структуре налоговых и неналоговых доходов занимает 34,18%) с ростом к уровню 2024 года первоначальной и уточненной редакции на 18,39% и 8,88%. В плановом 2026 году запланировано поступление в сумме 2 318 066,00 рублей (в структуре налоговых и неналоговых доходов занимает 33,36%) со снижением к уровню 2026 года на 3,21%, в 2027 году в сумме 2 961 661,00 рублей (в структуре налоговых и неналоговых доходов занимает 38,93%) с ростом к уровню 2026 года на 27,76%. </w:t>
      </w:r>
    </w:p>
    <w:p>
      <w:pPr>
        <w:pStyle w:val="Style91"/>
        <w:widowControl/>
        <w:spacing w:lineRule="auto" w:line="240"/>
        <w:ind w:firstLine="709"/>
        <w:rPr/>
      </w:pPr>
      <w:r>
        <w:rPr/>
        <w:t>Прогноз поступлений акцизов по подакцизным товарам (продукции), производимым на территории Российской Федерации основан на оценке ожидаемого поступления акцизов в 2024 году.</w:t>
      </w:r>
    </w:p>
    <w:p>
      <w:pPr>
        <w:pStyle w:val="Style91"/>
        <w:widowControl/>
        <w:spacing w:lineRule="auto" w:line="240"/>
        <w:ind w:firstLine="709"/>
        <w:rPr/>
      </w:pPr>
      <w:r>
        <w:rPr/>
        <w:t>В бюджет поселения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>
      <w:pPr>
        <w:pStyle w:val="Style91"/>
        <w:widowControl/>
        <w:spacing w:lineRule="auto" w:line="240"/>
        <w:ind w:firstLine="709"/>
        <w:rPr/>
      </w:pPr>
      <w:r>
        <w:rPr/>
        <w:t>Дифференцированный норматив отчисления в бюджет поселения на 2025-2027 годы составляет 0,0305</w:t>
      </w:r>
      <w:r>
        <w:rPr>
          <w:color w:val="FF0000"/>
        </w:rPr>
        <w:t xml:space="preserve"> </w:t>
      </w:r>
      <w:r>
        <w:rPr/>
        <w:t>процента.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Налоги на совокупный доход (единый сельскохозяйственный налог) </w:t>
      </w:r>
      <w:r>
        <w:rPr>
          <w:rFonts w:cs="Times New Roman" w:ascii="Times New Roman" w:hAnsi="Times New Roman"/>
          <w:sz w:val="24"/>
          <w:szCs w:val="24"/>
        </w:rPr>
        <w:t>спрогнозирован на основании оценки ожидаемых поступлений в 2024 году с учетом ожидаемой прибыли крупных и средних организаций сельского хозяйства. В 2025 году ожидается поступление в сумме 15 255,00 рублей (в структуре налоговых и неналоговых доходов занимает 0,22%) со снижением к уровню 2024 года на 57,60%. В плановом периоде планируется на 2026 год в сумме 15 469,00 рублей (в структуре налоговых и неналоговых доходов занимает 0,22%) с ростом к уровню 2025 года на 1,40% и в 2027 году в сумме 15 670,00 рублей (в структуре налоговых и неналоговых доходов занимает 0,21%) с ростом к уровню 2026 года на 1,30%.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Планируемое поступление </w:t>
      </w:r>
      <w:r>
        <w:rPr>
          <w:rFonts w:cs="Times New Roman" w:ascii="Times New Roman" w:hAnsi="Times New Roman"/>
          <w:b/>
          <w:sz w:val="24"/>
          <w:szCs w:val="24"/>
        </w:rPr>
        <w:t xml:space="preserve">налога на имущество </w:t>
      </w:r>
      <w:r>
        <w:rPr>
          <w:rFonts w:cs="Times New Roman" w:ascii="Times New Roman" w:hAnsi="Times New Roman"/>
          <w:sz w:val="24"/>
          <w:szCs w:val="24"/>
        </w:rPr>
        <w:t>в 2025 году предусмотрено в сумме 2 372 000,00 рублей (в структуре налоговых и неналоговых доходов занимает 33,86%), в плановом 2026 и 2027 году поступление предусмотрено на уровне 2025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Поступление </w:t>
      </w:r>
      <w:r>
        <w:rPr>
          <w:rFonts w:cs="Times New Roman" w:ascii="Times New Roman" w:hAnsi="Times New Roman"/>
          <w:b/>
          <w:sz w:val="24"/>
          <w:szCs w:val="24"/>
        </w:rPr>
        <w:t>государственной пошлины</w:t>
      </w:r>
      <w:r>
        <w:rPr>
          <w:rFonts w:cs="Times New Roman" w:ascii="Times New Roman" w:hAnsi="Times New Roman"/>
          <w:sz w:val="24"/>
          <w:szCs w:val="24"/>
        </w:rPr>
        <w:t xml:space="preserve"> в бюджет поселения спрогнозировано на основании оценки ожидаемых поступлений в 2024 году исходя из сложившейся базы поступлений налога. В 2025 году спланировано поступление 6 600,00 рублей (в структуре налоговых и неналоговых доходов занимает 0,09%) со снижением к уровню 2024 года на 5,71%, в плановом периоде 2026 и 2027 годов поступление ожидается на уровне 2025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Неналоговые доходы</w:t>
      </w:r>
      <w:r>
        <w:rPr>
          <w:rFonts w:cs="Times New Roman" w:ascii="Times New Roman" w:hAnsi="Times New Roman"/>
          <w:sz w:val="24"/>
          <w:szCs w:val="24"/>
        </w:rPr>
        <w:t xml:space="preserve"> предусмотрены  на 2025 год в объеме 1 897 579,00 рублей (доля в структуре налоговых и неналоговых доходов 27,09%) с ростом к редакции бюджета 2024 года на 8,77%, в плановом периоде поступление ожидается на уровне поступлений 2025 года.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Как  и в предыдущие годы, доля основных источников поступлений не налоговых доходов приходится на </w:t>
      </w:r>
      <w:r>
        <w:rPr>
          <w:rFonts w:eastAsia="Times New Roman" w:cs="Times New Roman" w:ascii="Times New Roman" w:hAnsi="Times New Roman"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BodyTextIndent"/>
        <w:spacing w:before="0" w:after="0"/>
        <w:ind w:firstLine="709" w:left="0"/>
        <w:jc w:val="both"/>
        <w:rPr>
          <w:color w:val="000000"/>
        </w:rPr>
      </w:pPr>
      <w:r>
        <w:rPr>
          <w:b/>
        </w:rPr>
        <w:t>Безвозмездные поступления</w:t>
      </w:r>
      <w:r>
        <w:rPr/>
        <w:t xml:space="preserve"> в проекте бюджета  ожидаются к поступлению в 2025 году в размере 4 540 934,85 рублей (доля в структуре доходов 39,33%) с ростом  к первоначальной редакции бюджета 2024 году на 6,88% и снижением к уровню уточненной редакции на 3,68%, в том числе поступление </w:t>
      </w:r>
      <w:r>
        <w:rPr>
          <w:i/>
        </w:rPr>
        <w:t>дотации на выравнивание бюджетной обеспеченности</w:t>
      </w:r>
      <w:r>
        <w:rPr/>
        <w:t xml:space="preserve"> из бюджета районного бюджета в бюджет поселения предусмотрены в сумме 3 355 943,85 рублей (доля в структуре безвозмездных поступлений 95,93%) с ростом к уровню 2024 года на 2,52%. В плановом периоде 2026 года безвозмездные поступления планируются в сумме 3 679 176,47 рублей (доля в структуре доходов 34,62%) со снижением к уровню 2025 года на 18,98%, в 2027 году в сумме 3 956 079,98 рублей (доля в структуре доходов 34,21%) с ростом к уровню 2026 года на 7,53%. Дотации  </w:t>
      </w:r>
      <w:r>
        <w:rPr>
          <w:i/>
        </w:rPr>
        <w:t>на выравнивание бюджетной обеспеченности</w:t>
      </w:r>
      <w:r>
        <w:rPr/>
        <w:t xml:space="preserve"> из бюджета районного бюджета в бюджет поселения предусмотрены на плановый 2026 и 2027 год в сумме 3 475 741,47 рублей (доля в структуре доходов 94,47%) со снижением к уровню 2025 года на 20,21% и 3 744 988,98 рублей (доля в структуре доходов 94,66%) с ростом к уровню 2026 года на 1,79% соответственно.</w:t>
      </w:r>
    </w:p>
    <w:p>
      <w:pPr>
        <w:pStyle w:val="BodyTextIndent"/>
        <w:spacing w:before="0" w:after="0"/>
        <w:ind w:firstLine="709" w:left="0"/>
        <w:jc w:val="both"/>
        <w:rPr>
          <w:color w:val="000000"/>
        </w:rPr>
      </w:pPr>
      <w:bookmarkStart w:id="5" w:name="OLE_LINK58"/>
      <w:bookmarkStart w:id="6" w:name="OLE_LINK57"/>
      <w:bookmarkEnd w:id="5"/>
      <w:bookmarkEnd w:id="6"/>
      <w:r>
        <w:rPr/>
        <w:t xml:space="preserve">Безвозмездные поступления целевого характера из федерального бюджета отражены в доходной части местного бюджета по соответствующим кодам бюджетной классификации на 2025 год в сумме 184 991,00 рублей (доля в структуре безвозмездных поступлений 4,07%) с ростом на 4,11 % к уровню 2024 года, на плановый период 2026 и 2027 годов в сумме 203 435,00 рублей и 211 091,00 рублей с ростом на 10,03% и 3,76% соответственно. </w:t>
      </w:r>
    </w:p>
    <w:p>
      <w:pPr>
        <w:pStyle w:val="Normal"/>
        <w:spacing w:lineRule="auto" w:line="240" w:before="0" w:after="0"/>
        <w:ind w:firstLine="709"/>
        <w:jc w:val="center"/>
        <w:rPr>
          <w:rStyle w:val="FontStyle34"/>
          <w:b/>
          <w:sz w:val="24"/>
          <w:szCs w:val="24"/>
        </w:rPr>
      </w:pPr>
      <w:r>
        <w:rPr>
          <w:rStyle w:val="FontStyle34"/>
          <w:b/>
          <w:sz w:val="24"/>
          <w:szCs w:val="24"/>
        </w:rPr>
        <w:t>3.2. Расходы бюджета</w:t>
      </w:r>
    </w:p>
    <w:p>
      <w:pPr>
        <w:pStyle w:val="Title"/>
        <w:tabs>
          <w:tab w:val="clear" w:pos="708"/>
          <w:tab w:val="left" w:pos="567" w:leader="none"/>
        </w:tabs>
        <w:ind w:firstLine="709"/>
        <w:jc w:val="both"/>
        <w:rPr>
          <w:sz w:val="24"/>
        </w:rPr>
      </w:pPr>
      <w:r>
        <w:rPr>
          <w:sz w:val="24"/>
        </w:rPr>
        <w:t>Расходы бюджета на 2025 год и плановый период 2026 и 2027 годов сформированы с учетом требований статей 184.1., 184.2.  БК РФ, в разрезе муниципальных программ, финансирование которых составляет 100,00% от общего объема расходов в 2025-2027 годах.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Расходная часть бюджета сформирована в соответствии с законодательно обусловленными расходными обязательствами, исполнение которых должно производиться в очередном финансовом году и плановом периоде за счет бюджетных средств. </w:t>
      </w:r>
      <w:r>
        <w:rPr>
          <w:rFonts w:cs="Times New Roman" w:ascii="Times New Roman" w:hAnsi="Times New Roman"/>
          <w:bCs/>
          <w:sz w:val="24"/>
          <w:szCs w:val="24"/>
        </w:rPr>
        <w:t>Расчет планируемых ассигнований  учитывает уровень инфляции текущего года и прогнозируемого на 2025 год, планируемую индексацию социальных выплат.</w:t>
      </w:r>
      <w:bookmarkStart w:id="7" w:name="OLE_LINK23"/>
      <w:bookmarkStart w:id="8" w:name="OLE_LINK24"/>
      <w:bookmarkEnd w:id="7"/>
      <w:bookmarkEnd w:id="8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Общий объем расходов местного бюджета на 2025 год определен на уровне 11 546 577,85 рублей, на плановый период 2026 год – 10 365 215,47  рублей, 2027 год – 10 995 670,98 рублей без учета условно утверждаемых расходов.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Расходы местного бюджета на 2025 год и плановый период 2026 и 2027 года в сравнении с 2024 годом по разделам представлены в следующей таблице:</w:t>
      </w:r>
    </w:p>
    <w:tbl>
      <w:tblPr>
        <w:tblStyle w:val="af3"/>
        <w:tblW w:w="10151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56"/>
        <w:gridCol w:w="1142"/>
        <w:gridCol w:w="1128"/>
        <w:gridCol w:w="1143"/>
        <w:gridCol w:w="735"/>
        <w:gridCol w:w="905"/>
        <w:gridCol w:w="1242"/>
        <w:gridCol w:w="735"/>
        <w:gridCol w:w="1030"/>
        <w:gridCol w:w="734"/>
      </w:tblGrid>
      <w:tr>
        <w:trPr/>
        <w:tc>
          <w:tcPr>
            <w:tcW w:w="1356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наименование показателей</w:t>
            </w:r>
          </w:p>
        </w:tc>
        <w:tc>
          <w:tcPr>
            <w:tcW w:w="2270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Утверждено на 2024 год</w:t>
            </w:r>
          </w:p>
        </w:tc>
        <w:tc>
          <w:tcPr>
            <w:tcW w:w="6524" w:type="dxa"/>
            <w:gridSpan w:val="7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Предусмотрено проектом решения</w:t>
            </w:r>
          </w:p>
        </w:tc>
      </w:tr>
      <w:tr>
        <w:trPr/>
        <w:tc>
          <w:tcPr>
            <w:tcW w:w="1356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r>
          </w:p>
        </w:tc>
        <w:tc>
          <w:tcPr>
            <w:tcW w:w="114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первоначальная редакция, рублей(решение Совета от 06.12.2023 №56)</w:t>
            </w:r>
          </w:p>
        </w:tc>
        <w:tc>
          <w:tcPr>
            <w:tcW w:w="1128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с учетом изменений (ред. от 27.09.2024г) рублей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position w:val="0"/>
                <w:sz w:val="16"/>
                <w:sz w:val="16"/>
                <w:szCs w:val="16"/>
                <w:vertAlign w:val="baselin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position w:val="0"/>
                <w:sz w:val="16"/>
                <w:sz w:val="16"/>
                <w:szCs w:val="16"/>
                <w:vertAlign w:val="baseline"/>
              </w:rPr>
            </w:r>
          </w:p>
        </w:tc>
        <w:tc>
          <w:tcPr>
            <w:tcW w:w="2783" w:type="dxa"/>
            <w:gridSpan w:val="3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на 2025 год</w:t>
            </w:r>
          </w:p>
        </w:tc>
        <w:tc>
          <w:tcPr>
            <w:tcW w:w="1977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на 2026 год</w:t>
            </w:r>
          </w:p>
        </w:tc>
        <w:tc>
          <w:tcPr>
            <w:tcW w:w="1764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на 2027 год</w:t>
            </w:r>
          </w:p>
        </w:tc>
      </w:tr>
      <w:tr>
        <w:trPr>
          <w:trHeight w:val="746" w:hRule="atLeast"/>
        </w:trPr>
        <w:tc>
          <w:tcPr>
            <w:tcW w:w="1356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r>
          </w:p>
        </w:tc>
        <w:tc>
          <w:tcPr>
            <w:tcW w:w="114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r>
          </w:p>
        </w:tc>
        <w:tc>
          <w:tcPr>
            <w:tcW w:w="112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6"/>
                <w:sz w:val="16"/>
                <w:szCs w:val="16"/>
                <w:vertAlign w:val="baseline"/>
              </w:rPr>
            </w:r>
          </w:p>
        </w:tc>
        <w:tc>
          <w:tcPr>
            <w:tcW w:w="114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рублей</w:t>
            </w:r>
          </w:p>
        </w:tc>
        <w:tc>
          <w:tcPr>
            <w:tcW w:w="73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отношение к 2024 году, % к первоначальной редакции</w:t>
            </w:r>
          </w:p>
        </w:tc>
        <w:tc>
          <w:tcPr>
            <w:tcW w:w="90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отношение к 2024 году, %с учетом изменений</w:t>
            </w:r>
          </w:p>
        </w:tc>
        <w:tc>
          <w:tcPr>
            <w:tcW w:w="124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рублей</w:t>
            </w:r>
          </w:p>
        </w:tc>
        <w:tc>
          <w:tcPr>
            <w:tcW w:w="73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отношение к 2025 году, %</w:t>
            </w:r>
          </w:p>
        </w:tc>
        <w:tc>
          <w:tcPr>
            <w:tcW w:w="1030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рублей</w:t>
            </w:r>
          </w:p>
        </w:tc>
        <w:tc>
          <w:tcPr>
            <w:tcW w:w="73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0"/>
                <w:sz w:val="16"/>
                <w:sz w:val="16"/>
                <w:szCs w:val="16"/>
                <w:vertAlign w:val="baseline"/>
                <w:lang w:val="ru-RU" w:bidi="ar-SA"/>
              </w:rPr>
              <w:t>отношение к 2026 году, %</w:t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01.00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5 779 563,61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6 071 696,67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5 883 969,77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101,81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96,91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5 057 747,65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85,96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4 969 260,16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98,25</w:t>
            </w:r>
          </w:p>
        </w:tc>
      </w:tr>
      <w:tr>
        <w:trPr>
          <w:trHeight w:val="246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54,85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38,94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50,96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48,80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45,19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02.00 Национальная оборона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177 696,00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184 991,00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104,11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203 435,00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109,97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211 091,00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13,69</w:t>
            </w:r>
          </w:p>
        </w:tc>
      </w:tr>
      <w:tr>
        <w:trPr>
          <w:trHeight w:val="283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1,14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1,60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1,96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1,92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03.00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106 000,00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252 600,00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62 027,00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58,52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24,56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30 441,00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49,08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27 843,00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91,47</w:t>
            </w:r>
          </w:p>
        </w:tc>
      </w:tr>
      <w:tr>
        <w:trPr>
          <w:trHeight w:val="233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1,01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1,62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0,53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0,29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0,25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04,00Национальная экономика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2 077 566,00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5 977 071,53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2 430 336,82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116,98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40,66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2 352 914,82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96,81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2 996 509,82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127,35</w:t>
            </w:r>
          </w:p>
        </w:tc>
      </w:tr>
      <w:tr>
        <w:trPr>
          <w:trHeight w:val="227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19,73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38,33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21,05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22,70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27,25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05,00 Жилищно-коммунальное хозяйство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420 613,14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657 945,79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446 399,00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106,13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67,85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424 199,00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95,03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443 399,00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104,53</w:t>
            </w:r>
          </w:p>
        </w:tc>
      </w:tr>
      <w:tr>
        <w:trPr>
          <w:trHeight w:val="238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3,99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4,22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3,87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4,09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4,03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07,00 Образование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1 500,00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1 500,00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1 500,00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1 000,00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66,67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1 000,00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227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0,01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0,01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0,01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0,01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0,01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08,00 Культура, кинематография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1 895 760,00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2 074 165,04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2 251 136,26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118,75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108,53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2 061 260,00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91,57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2 112 350,00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102,48</w:t>
            </w:r>
          </w:p>
        </w:tc>
      </w:tr>
      <w:tr>
        <w:trPr>
          <w:trHeight w:val="226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17,99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13,30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19,50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19,89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19,21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10,00 Социальная политика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189 970,32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195 237,12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220 718,00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116,19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113,05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220 718,00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220 718,00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284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1,80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1,25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1,91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2,13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2,02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11,00 Физическая культура и спорт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65 500,00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185 714,09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65 500,00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35,27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13 500,00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20,61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13 500,00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181" w:hRule="atLeast"/>
        </w:trPr>
        <w:tc>
          <w:tcPr>
            <w:tcW w:w="13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вес, %</w:t>
            </w:r>
          </w:p>
        </w:tc>
        <w:tc>
          <w:tcPr>
            <w:tcW w:w="11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0,62</w:t>
            </w:r>
          </w:p>
        </w:tc>
        <w:tc>
          <w:tcPr>
            <w:tcW w:w="112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1,19</w:t>
            </w:r>
          </w:p>
        </w:tc>
        <w:tc>
          <w:tcPr>
            <w:tcW w:w="114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0,57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0,13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3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  <w:t>0,12</w:t>
            </w:r>
          </w:p>
        </w:tc>
        <w:tc>
          <w:tcPr>
            <w:tcW w:w="73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>
          <w:trHeight w:val="621" w:hRule="atLeast"/>
        </w:trPr>
        <w:tc>
          <w:tcPr>
            <w:tcW w:w="13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ВСЕГО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10 536 473,07</w:t>
            </w:r>
          </w:p>
        </w:tc>
        <w:tc>
          <w:tcPr>
            <w:tcW w:w="1128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15 593 626,24</w:t>
            </w:r>
          </w:p>
        </w:tc>
        <w:tc>
          <w:tcPr>
            <w:tcW w:w="114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11 546 577,85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109,59</w:t>
            </w:r>
          </w:p>
        </w:tc>
        <w:tc>
          <w:tcPr>
            <w:tcW w:w="90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74,05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10 365 215,47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89,77</w:t>
            </w:r>
          </w:p>
        </w:tc>
        <w:tc>
          <w:tcPr>
            <w:tcW w:w="103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10 995 670,98</w:t>
            </w:r>
          </w:p>
        </w:tc>
        <w:tc>
          <w:tcPr>
            <w:tcW w:w="73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106,08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Структура расходной части бюджета не изменилась, как и в текущем 2024 году наибольший удельный (более 38%) в общей структуре расходов в очередном финансовом году и плановом периоде занимает  раздел «Общегосударственные расходы».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Социально-культурная сфера в 2025 году предусмотрена в структуре расходов в доле  21,99%, в плановом периоде 2026 и 2027 годов в 22,16% и 21,36% соответственно.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Бюджетные ассигнования по разделу </w:t>
      </w:r>
      <w:r>
        <w:rPr>
          <w:rFonts w:cs="Times New Roman" w:ascii="Times New Roman" w:hAnsi="Times New Roman"/>
          <w:b/>
          <w:sz w:val="24"/>
          <w:szCs w:val="24"/>
        </w:rPr>
        <w:t xml:space="preserve">«Общегосударственные расходы» </w:t>
      </w:r>
      <w:r>
        <w:rPr>
          <w:rFonts w:cs="Times New Roman" w:ascii="Times New Roman" w:hAnsi="Times New Roman"/>
          <w:sz w:val="24"/>
          <w:szCs w:val="24"/>
        </w:rPr>
        <w:t>предусмотрены в 2025 году в сумме 5 883 969,77 рублей (50,96% в структуре расходов) с ростом к первоначальной редакции бюджета 2024 года на 1,81% и со снижением к уровню уточненной редакции 2024 года на 3,09%, на плановый период 2026 года запланировано 5 057 745,65 рублей (48,80% в структуре расходов) со снижением к уровню 2025 года на 14,04% и в 2026 году 4 969 260,16 рублей (в структуре расходов 45,19%) со снижением к уровню 2026 года на 1,75%.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данному разделу средства предусмотрены на обеспечение функционирования высшего должностного лица поселения на 2025 год и а плановый 2026 и 2027 годов в сумме 1 086 021,57 рублей; на обеспечение полномочий местной администрации в сумме  на 2025 год в сумме 2 864 299,01 рублей на плановый период 2026 и 2027 годов в сумме 2 303 721,15 рублейи в 2 065 719,01 рублей соответственно.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целях финансового</w:t>
      </w:r>
      <w:r>
        <w:rPr>
          <w:rFonts w:cs="Times New Roman" w:ascii="Times New Roman" w:hAnsi="Times New Roman"/>
          <w:sz w:val="24"/>
          <w:szCs w:val="24"/>
        </w:rPr>
        <w:t xml:space="preserve"> обеспечения непредвиденных расходов по подразделу "Резервные фонды" предусматривается формирование резервного фонда Администрации Воронцовского сельского поселения Полтавского муниципального района в объеме 10 000,00 рублей на 2025 год, на плановый период 2026 и 2027 годов в сумме 2 000,00 рублей ежегодно.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Бюджетные ассигнования по подразделу «</w:t>
      </w:r>
      <w:r>
        <w:rPr>
          <w:rFonts w:cs="Times New Roman" w:ascii="Times New Roman" w:hAnsi="Times New Roman"/>
          <w:i/>
          <w:sz w:val="24"/>
          <w:szCs w:val="24"/>
        </w:rPr>
        <w:t>Другие общегосударственные расходы»</w:t>
      </w:r>
    </w:p>
    <w:p>
      <w:pPr>
        <w:pStyle w:val="Normal"/>
        <w:suppressAutoHyphens w:val="false"/>
        <w:spacing w:lineRule="auto" w:line="240" w:before="0" w:after="0"/>
        <w:ind w:hanging="0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bookmarkStart w:id="9" w:name="OLE_LINK20"/>
      <w:bookmarkStart w:id="10" w:name="OLE_LINK19"/>
      <w:bookmarkEnd w:id="9"/>
      <w:bookmarkEnd w:id="10"/>
      <w:r>
        <w:rPr>
          <w:rFonts w:cs="Times New Roman" w:ascii="Times New Roman" w:hAnsi="Times New Roman"/>
          <w:sz w:val="24"/>
          <w:szCs w:val="24"/>
        </w:rPr>
        <w:t>предусмотрены  в рамках п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одпрограммы "Муниципальное управление, управление муниципальным имуществом Воронцовского сельского поселения" в сумме 1 923 649,19 рублей на 2025 год, на 2026 год в сумме 1 9666 004,93 рублей, на 2027 год в сумме 1 815 519,58 рублей, с целью обеспечение хозяйственного обслуживания подведомственного учреждения </w:t>
      </w:r>
      <w:r>
        <w:rPr>
          <w:rFonts w:cs="Times New Roman" w:ascii="Times New Roman" w:hAnsi="Times New Roman"/>
          <w:sz w:val="24"/>
          <w:szCs w:val="24"/>
        </w:rPr>
        <w:t>"Хозяйственное управление Воронцовского сельского поселения"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510" w:left="0" w:right="0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b/>
          <w:bCs/>
          <w:color w:val="000000"/>
          <w:sz w:val="24"/>
          <w:szCs w:val="24"/>
        </w:rPr>
        <w:t xml:space="preserve">«Национальная оборона» </w:t>
      </w:r>
      <w:r>
        <w:rPr>
          <w:rFonts w:eastAsia="Noto Sans CJK SC"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предусмотрены средства на 2025 год в сумме 184 991,00 рублей (в структуре расходов имеет долю 1,60%) с ростом к уточненной редакции бюджета 2024 года на 4,11%,на 2026 год в сумме 203 435,00 рублей (доля в структуре расходов 1,96%) с ростом к уровню 2025 года на 9,97%, в 2027 году в сумме 211 091,00 рублей (доля в структуре расходов 1,92%) с ростом к уровню 2026 года на 3,76%.</w:t>
      </w:r>
    </w:p>
    <w:p>
      <w:pPr>
        <w:pStyle w:val="Normal"/>
        <w:bidi w:val="0"/>
        <w:spacing w:lineRule="auto" w:line="240" w:before="0" w:after="29"/>
        <w:jc w:val="both"/>
        <w:rPr>
          <w:sz w:val="24"/>
          <w:szCs w:val="24"/>
        </w:rPr>
      </w:pPr>
      <w:r>
        <w:rPr>
          <w:rFonts w:eastAsia="Noto Sans CJK SC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предусмотрены в рамках п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одпрограммы "Муниципальное управление, управление муниципальным имуществом Воронцовского сельского поселения" </w:t>
      </w:r>
      <w:r>
        <w:rPr>
          <w:rFonts w:eastAsia="Noto Sans CJK SC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для 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существления первичного воинского учета органами местного самоуправления поселения.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567" w:left="0" w:right="0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b/>
          <w:bCs/>
          <w:color w:val="000000"/>
          <w:sz w:val="24"/>
          <w:szCs w:val="24"/>
        </w:rPr>
        <w:t>«Национальная безопасность и правоохранительная деятельность»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средства в сумме 62 027,00 рублей (в структуре расходов 0,53%) на 2025 год со снижением к уровню первоначальной редакции бюджета 2024 года на 41,48% и со снижением к уровню уточненной редакции на 75,44%, в плановом периоде 2026 года в сумме 30 441,00 рублей (в структуре расходов 0,29%) со снижением к уровню 2025 года на 50,92% и в 2027 году в сумме 27 843,00 рублей (в структуре расходов 0,25%) со снижением к уровню 2026 года на 8,53%. Средства предусмотрены в рамках подпрограммы "Обеспечение пожарной безопасности и защиты населения, территорий поселения от чрезвычайных ситуаций природного и техногенного характера" на предупреждение и защита населения поселения от чрезвычайных ситуаций.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 xml:space="preserve">«Национальная экономика»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предусмотрена в объеме 2 430 336,82,00 рублей (21,05% в структуре расходов) на 2025 год  с ростом к первоначальной редакции бюджета 2024 года на 16,98% и снижением к уровню уточненной редакции на 59,34%. В 2026 году в сумме 2 352 914,82 рублей (в структуре расходов 22,70%) со снижением к уровню 2025 года на 3,19%, в 2027 году  в сумме 2 996 509,82 рублей с ростом к уровню 2026 года на 27,35%. 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 xml:space="preserve">«Общеэкономические вопросы»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предусмотрено на 2025 год и плановй период 2026 и 2027 годов в сумме 34 648,82 рублей. Средства предусмотрены в рамках подпрограммы "Содействие занятости населения Воронцовского сельского поселения" для 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Воронцовского сельского поселения.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 xml:space="preserve">«Дорожное хозяйство (Дорожные фонды)»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на 2025 предусмотрен объем 2 394 888,00 рублей, на 2026 год 2 318 066,00 рублей, на 2027 год 2 961 661,00 рублей. Средства сформированы в рамках подпрограммы "Поддержка жилищно-коммунального хозяйства и развитие транспортной инфраструктуры Воронцовского сельского поселения" на содержание внутрипоселковых автомобильных дорог и сооружений на них, на капитальный ремонт и ремонт внутрипоселковых автомобильных дорог и сооружений на них.</w:t>
      </w:r>
      <w:r>
        <w:rPr>
          <w:rFonts w:cs="Times New Roman" w:ascii="Times New Roman" w:hAnsi="Times New Roman"/>
          <w:sz w:val="24"/>
          <w:szCs w:val="24"/>
        </w:rPr>
        <w:t xml:space="preserve"> Объем бюджетных ассигнований дорожного фонда на трехлетний период сформирован с учетом требований пункта 5 статьи179.4. БК РФ.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«Другие вопросы в области национальной экономики»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предусмотрено на 2025 год 1800,00 рублей, в плановом периоде 2026 и 2027 годов в сумме 200,00 рублей ежегодно. Использование планируется в рамках подпрограммы  "Муниципальное управление, управление муниципальным имуществом Воронцовского сельского поселения" на разграничение государственной собственности на землю, государственную регистрацию права муниципальной собственности на объекты недвижимости, на осуществление оценки объектов, находящихся в муниципальной собственности, вовлекаемых в сделки, на реализацию мероприятий по землеустройству и землепользованию.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 xml:space="preserve">«Жилищно-коммунальное хозяйство»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предусмотрены в объеме 446 399,00 рублей (3,87% в структуре расходов) на 2025 год с ростом к первоначальной редакции бюджета 2024 года на 6,13% и снижением к уровню уточненной редакции на  32,15%, в плановом периоде на 2026 год в сумме 424 199,00 рублей (в структуре расходов 4,09%) со снижением к уровню 2025 года на 4,97% и в 2027 году в сумме 443 399,00 рублей с ростом к уровню 2026 года на 4,53%. Средства предусмотрены  для исполнения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 xml:space="preserve">«Благоустройство»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в рамках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подпрограммы "Поддержка жилищно-коммунального хозяйства и развитие транспортной инфраструктуры Воронцовского сельского поселения" на содержание и реконструкция объектов уличного освещения, на озеленение территории сельского поселения, содержание мест захоронения, для повышения уровня благоустройства поселения и прочие работы по благоустройству, на мероприятия по борьбе с наркосодержащими растениями, на реализацию инициативного проекта ""Добрая память" (благоустройство территории кладбища в с. Воронцовка Полтавского района Омской области)". В рамках подпрограммы "Энергосбережение в Воронцовском сельском поселении" для повышения эффективности системы электроснабжения.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«Образование»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сформированы на 2025 год в сумме 1 500,00 рублей (0,01% в структуре расходов)  на уровне бюджета 2024 года, на плановый период 2026 и 2027 годов в сумме 1 000,00 рублей ежегодно. Средства предусмотрены 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«Молодежная политика»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"Развитие культуры, физической культуры и спорта, молодежной политики на территории Воронцовского сельского поселения" для организация оздоровления, отдыха несовершеннолетних и молодежи, проведения мероприятий по гражданско-патриотическому воспитанию молодежи.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 xml:space="preserve">«Культура и кинематография»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предусмотрены бюджетные ассигнования на 2025 год в сумме 2 251 136,25,00 рублей (19,50% в структуре расходов) с ростом к первоначальной и уточненной редакции бюджета 2024 года на 18,75% и 8,53% соответственно, в плановом периоде 2026 года предусмотрено 2 061 260,00 рублей со снижением к уровню 2025 года на 8,43%, в 2027 году с ростом к уровню 2026 года на 2,48% или 2 112 350,00 рублей.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 xml:space="preserve">«Культура»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в рамках подпрограммы "Развитие культуры, физической культуры и спорта, молодежной политики на территории Воронцовского сельского поселения" на проведение мероприятий в области культуры, в рамках подпрограммы "Муниципальное управление, управление муниципальным имуществом Воронцовского сельского поселения" на содержание муниципального имущества.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 xml:space="preserve">«Социальная политика»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предусмотрены на 2025 год в сумме 220 718,00 рублей (1,91% в структуре расходов) с ростом к уровню 2024 года на 13,05%, в плановом периоде 2026 и 2027 годов предусмотрено на уровне  2025 года. Средства сформированы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«Пенсионное обеспечение»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"Социальная политика Воронцовского сельского поселения" на выплату муниципальной пенсии за выслугу лет, служащим замещавшим муниципальные должности и должности муниципальной службы в Воронцовском сельском поселении.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«Физическая культура и спорт»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на 2025 год предусмотрены в сумме 65 500,00 рублей (0,57% в структуре расходов) на уровне первоначальной редакции бюджета 2024 года и со снижением к уровню 2024 года на 64,73%, в плановом 2026 году запланировано в сумме 13 500,00 рублей (0,13% в структуре расходов) со снижением к уровню 2025 года на 79,39% , в 2027 году на уровне 2026 года.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«Массовый спорт»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"Развитие культуры, физической культуры и спорта, молодежной политики на территории Воронцовского сельского поселения"  на проведение массовых спортивно-оздоровительных мероприятий, спортивно-культурных праздников, укрепление материально-технической базы учреждений в сфере физической культуры и 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1" w:name="OLE_LINK20_Копия_1"/>
      <w:bookmarkStart w:id="12" w:name="OLE_LINK19_Копия_1"/>
      <w:bookmarkStart w:id="13" w:name="OLE_LINK20_Копия_1"/>
      <w:bookmarkStart w:id="14" w:name="OLE_LINK19_Копия_1"/>
      <w:bookmarkEnd w:id="13"/>
      <w:bookmarkEnd w:id="14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Проектом решения бюджета Воронцовского сельского поселения Полтавского муниципального района на 2025 год и плановый период 2026 и 2027 годов предусмотрена реализация двух муниципальных программ.</w:t>
      </w:r>
      <w:r>
        <w:rPr>
          <w:rFonts w:eastAsia="Calibri" w:cs="Times New Roman" w:ascii="Times New Roman" w:hAnsi="Times New Roman"/>
          <w:sz w:val="24"/>
          <w:szCs w:val="24"/>
        </w:rPr>
        <w:t xml:space="preserve"> Финансовое обеспечение предусмотренное проектами паспортов муниципальных программ на 2025-2027 годы соответствует объемам запланированным проектом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Основной целью муниципальных программ является улучшение качества жизни населения.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eading1"/>
        <w:rPr>
          <w:sz w:val="24"/>
          <w:szCs w:val="24"/>
        </w:rPr>
      </w:pPr>
      <w:r>
        <w:rPr>
          <w:sz w:val="24"/>
          <w:szCs w:val="24"/>
        </w:rPr>
        <w:t>3.3. Источники финансирования дефицита бюджета поселения в 2024 году и плановом периоде 2026-2027 годов</w:t>
      </w:r>
    </w:p>
    <w:p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основных направлений долговой политики Воронцо</w:t>
      </w:r>
      <w:r>
        <w:rPr>
          <w:rFonts w:eastAsia="Calibri" w:ascii="Times New Roman" w:hAnsi="Times New Roman" w:eastAsiaTheme="minorHAnsi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</w:rPr>
        <w:t>ского сельского поселения является недопущение муниципального долга.  По состоянию на 01.10.2024 года муниципальный долг в поселении отсутствует.</w:t>
      </w:r>
    </w:p>
    <w:p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бюджета на 2025 год и плановый период 2026 и 2027 годов сформирован сбалансированным.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Выводы и рекомендации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1.Проект бюджета Воронцовского сельского поселения Полтавского муниципального района на 2025 год и  на плановый период 2026 и 2027 годов внесен распоряжением администрации  Воронцовского сельского поселения Полтавского муниципального района на рассмотрение в представительный орган своевременно.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2.Представленный проект  бюджета соответствует требованиям статьям 184.1 и 184.2 Бюджетного Кодекса Российской Федерации в части полноты самого проекта решения, а также документов и материалов, предоставляемых в Совет одновременно с ними.  </w:t>
      </w: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</w:rPr>
        <w:t>Экспертиза представленных документов установила следующее:</w:t>
      </w:r>
    </w:p>
    <w:p>
      <w:pPr>
        <w:pStyle w:val="Default"/>
        <w:ind w:firstLine="709"/>
        <w:jc w:val="both"/>
        <w:rPr>
          <w:color w:val="auto"/>
        </w:rPr>
      </w:pPr>
      <w:r>
        <w:rPr>
          <w:rFonts w:cs="Times New Roman"/>
          <w:b/>
          <w:bCs/>
          <w:color w:val="auto"/>
          <w:sz w:val="24"/>
          <w:szCs w:val="24"/>
        </w:rPr>
        <w:t>несоответствие</w:t>
      </w:r>
      <w:r>
        <w:rPr>
          <w:rFonts w:cs="Times New Roman"/>
          <w:color w:val="auto"/>
          <w:sz w:val="24"/>
          <w:szCs w:val="24"/>
        </w:rPr>
        <w:t xml:space="preserve"> данных отраженных в Прогнозе социально-экономического развития и Пояснительной записке к прогнозу социально-экономического развития;</w:t>
      </w:r>
    </w:p>
    <w:p>
      <w:pPr>
        <w:pStyle w:val="Default"/>
        <w:ind w:firstLine="709"/>
        <w:jc w:val="both"/>
        <w:rPr>
          <w:color w:val="auto"/>
        </w:rPr>
      </w:pPr>
      <w:r>
        <w:rPr>
          <w:rFonts w:cs="Times New Roman"/>
          <w:b/>
          <w:bCs/>
          <w:color w:val="auto"/>
          <w:sz w:val="24"/>
          <w:szCs w:val="24"/>
        </w:rPr>
        <w:t>нарушением пункта 4 статьи 173 БК.</w:t>
      </w:r>
      <w:r>
        <w:rPr>
          <w:rFonts w:cs="Times New Roman"/>
          <w:color w:val="auto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3.В соответствии с положениями  статьи 172 Бюджетного кодекса РФ проект бюджета основан на основных направлениях бюджетной и налоговой политики муниципального образования, прогнозе социально-экономического развития  территории, бюджетном прогнозе муниципального образования на долгосрочный период.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4.Прогноз социально-экономического развития поселения на 2025 и плановый период 2026 и 2027 годов  одобрен в соответствии с бюджетным законодательством.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5.Основные характеристики бюджета (общий объем доходов, общий объем расходов, дефицит (профицит) бюджета) спрогнозированы  в соответствии со ст.184.1 Бюджетного кодекса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6.При формировании проекта бюджета соблюдены ограничения, установленные Бюджетным кодексом Российской Федерации, а именно:  по размеру дефицита бюджета, объему муниципального долга и расходам на его обслуживание, предельному объему заимствований, общему объему условно утверждаемых расходов.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 своей структуре и содержанию проект  решения сформирован в соответствии с требованиями  пункта 3 статьи 184.1 Бюджетного кодекса РФ.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8. Результаты рассмотрения проекта решения в части прогнозируемых доходов на 2025 год и на плановый период 2026 и 2027 годов свидетельствует о соблюдении требований бюджетного законодательства, предъявляемых к формированию бюджета (ст.174.1 БК РФ). Предусмотренные проектом решения виды налоговых и неналоговых доходов местного бюджета соответствуют перечню, установленному БК РФ.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Расходная часть бюджета сформирована в соответствии с законодательно обусловленными расходными обязательствами, исполнение которых должно производиться в очередном финансовом году и плановом периоде за счет бюджетных средств. </w:t>
      </w:r>
      <w:r>
        <w:rPr>
          <w:rFonts w:cs="Times New Roman" w:ascii="Times New Roman" w:hAnsi="Times New Roman"/>
          <w:bCs/>
          <w:sz w:val="24"/>
          <w:szCs w:val="24"/>
        </w:rPr>
        <w:t>Расчет планируемых ассигнований  учитывает уровень инфляции текущего года и прогнозируемого на 2025 год, планируемую индексацию социальных выплат.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Расходы на исполнение муниципальных программ на 2025 год и на плановый период 2026 и 2027 годов предлагаются к утверждению на основании проектов паспортов муниципальных программ в полном объеме.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На основании изложенного, Контрольно-счетный орган считает, что  проект бюджета Воронцовского сельского поселения Полтавского муниципального района  на  2025 год и на плановый период 2026 и 2027 годов  соответствует  нормам бюджетного законодательства и может быть  </w:t>
      </w:r>
      <w:r>
        <w:rPr>
          <w:rFonts w:cs="Times New Roman" w:ascii="Times New Roman" w:hAnsi="Times New Roman"/>
          <w:b/>
          <w:bCs/>
          <w:sz w:val="24"/>
          <w:szCs w:val="24"/>
        </w:rPr>
        <w:t>рекомендован к принятию в первом чтении, после устранения установленных нарушений и недостатков относительно документов представляемых одновременно с проектом бюджета установленных настоящим Заключением.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Председатель                                                                                                Е. В. Галаган                        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3ec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link w:val="11"/>
    <w:qFormat/>
    <w:rsid w:val="00ae7e80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uiPriority w:val="99"/>
    <w:qFormat/>
    <w:rsid w:val="00e33ec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33ec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e33ec5"/>
    <w:rPr>
      <w:rFonts w:ascii="Tahoma" w:hAnsi="Tahoma" w:cs="Tahoma"/>
      <w:sz w:val="16"/>
      <w:szCs w:val="16"/>
    </w:rPr>
  </w:style>
  <w:style w:type="character" w:styleId="Style16" w:customStyle="1">
    <w:name w:val="Основной текст с отступом Знак"/>
    <w:basedOn w:val="DefaultParagraphFont"/>
    <w:qFormat/>
    <w:rsid w:val="003b6de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34" w:customStyle="1">
    <w:name w:val="Font Style34"/>
    <w:basedOn w:val="DefaultParagraphFont"/>
    <w:qFormat/>
    <w:rsid w:val="00e91205"/>
    <w:rPr>
      <w:rFonts w:ascii="Times New Roman" w:hAnsi="Times New Roman" w:cs="Times New Roman"/>
      <w:sz w:val="26"/>
      <w:szCs w:val="26"/>
    </w:rPr>
  </w:style>
  <w:style w:type="character" w:styleId="Style17" w:customStyle="1">
    <w:name w:val="Название Знак"/>
    <w:basedOn w:val="DefaultParagraphFont"/>
    <w:qFormat/>
    <w:rsid w:val="003423d1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8" w:customStyle="1">
    <w:name w:val="Основной текст Знак"/>
    <w:basedOn w:val="DefaultParagraphFont"/>
    <w:qFormat/>
    <w:rsid w:val="00562e6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" w:customStyle="1">
    <w:name w:val="Заголовок 1 Знак"/>
    <w:basedOn w:val="DefaultParagraphFont"/>
    <w:qFormat/>
    <w:rsid w:val="00ae7e8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qFormat/>
    <w:rsid w:val="00ae7e8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Hyperlink" w:customStyle="1">
    <w:name w:val="Hyperlink"/>
    <w:rsid w:val="001e365f"/>
    <w:rPr>
      <w:color w:val="000080"/>
      <w:u w:val="single"/>
    </w:rPr>
  </w:style>
  <w:style w:type="character" w:styleId="11" w:customStyle="1">
    <w:name w:val="Заголовок 1 Знак1"/>
    <w:basedOn w:val="DefaultParagraphFont"/>
    <w:qFormat/>
    <w:rsid w:val="000b187c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Style19" w:customStyle="1">
    <w:name w:val="Заголовок"/>
    <w:basedOn w:val="Normal"/>
    <w:next w:val="BodyText"/>
    <w:qFormat/>
    <w:rsid w:val="001e365f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62e65"/>
    <w:pPr>
      <w:spacing w:lineRule="auto" w:line="240" w:before="0" w:after="12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List">
    <w:name w:val="List"/>
    <w:basedOn w:val="BodyText"/>
    <w:rsid w:val="001e365f"/>
    <w:pPr/>
    <w:rPr>
      <w:rFonts w:cs="Lohit Devanagari"/>
    </w:rPr>
  </w:style>
  <w:style w:type="paragraph" w:styleId="Caption" w:customStyle="1">
    <w:name w:val="Caption"/>
    <w:basedOn w:val="Normal"/>
    <w:qFormat/>
    <w:rsid w:val="001e365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1e365f"/>
    <w:pPr>
      <w:suppressLineNumbers/>
    </w:pPr>
    <w:rPr>
      <w:rFonts w:cs="Lohit Devanagari"/>
    </w:rPr>
  </w:style>
  <w:style w:type="paragraph" w:styleId="Style21" w:customStyle="1">
    <w:name w:val="Верхний и нижний колонтитулы"/>
    <w:basedOn w:val="Normal"/>
    <w:qFormat/>
    <w:rsid w:val="001e365f"/>
    <w:pPr/>
    <w:rPr/>
  </w:style>
  <w:style w:type="paragraph" w:styleId="Style22">
    <w:name w:val="Колонтитул"/>
    <w:basedOn w:val="Normal"/>
    <w:qFormat/>
    <w:pPr/>
    <w:rPr/>
  </w:style>
  <w:style w:type="paragraph" w:styleId="Footer" w:customStyle="1">
    <w:name w:val="Footer"/>
    <w:basedOn w:val="Normal"/>
    <w:uiPriority w:val="99"/>
    <w:rsid w:val="00e33e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eader" w:customStyle="1">
    <w:name w:val="Header"/>
    <w:basedOn w:val="Normal"/>
    <w:uiPriority w:val="99"/>
    <w:rsid w:val="00e33e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qFormat/>
    <w:rsid w:val="00e33ec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33ec5"/>
    <w:pPr>
      <w:spacing w:before="0" w:after="200"/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e33e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b6de5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91" w:customStyle="1">
    <w:name w:val="Style9"/>
    <w:basedOn w:val="Normal"/>
    <w:qFormat/>
    <w:rsid w:val="00e91205"/>
    <w:pPr>
      <w:widowControl w:val="false"/>
      <w:spacing w:lineRule="exact" w:line="326" w:before="0" w:after="0"/>
      <w:ind w:firstLine="71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10" w:customStyle="1">
    <w:name w:val="Style1"/>
    <w:basedOn w:val="Normal"/>
    <w:qFormat/>
    <w:rsid w:val="00e91205"/>
    <w:pPr>
      <w:widowControl w:val="false"/>
      <w:spacing w:lineRule="exact" w:line="319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">
    <w:name w:val="Title"/>
    <w:basedOn w:val="Normal"/>
    <w:qFormat/>
    <w:rsid w:val="003423d1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NormalWeb">
    <w:name w:val="Normal (Web)"/>
    <w:basedOn w:val="Normal"/>
    <w:qFormat/>
    <w:rsid w:val="00d34ff8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ConsNonformat" w:customStyle="1">
    <w:name w:val="ConsNonformat"/>
    <w:qFormat/>
    <w:rsid w:val="007c2cb6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ConsNormal" w:customStyle="1">
    <w:name w:val="ConsNormal"/>
    <w:qFormat/>
    <w:rsid w:val="007c2cb6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BodyTextIndent3">
    <w:name w:val="Body Text Indent 3"/>
    <w:basedOn w:val="Normal"/>
    <w:qFormat/>
    <w:rsid w:val="00ae7e80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Western" w:customStyle="1">
    <w:name w:val="western"/>
    <w:basedOn w:val="Normal"/>
    <w:qFormat/>
    <w:rsid w:val="007e160b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e33ec5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3337-6544-4E8E-A107-CAF53B2F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Application>LibreOffice/7.6.6.3$Linux_X86_64 LibreOffice_project/60$Build-3</Application>
  <AppVersion>15.0000</AppVersion>
  <Pages>13</Pages>
  <Words>5622</Words>
  <Characters>34477</Characters>
  <CharactersWithSpaces>39824</CharactersWithSpaces>
  <Paragraphs>613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2022-11-19T05:32:00Z</dcterms:created>
  <dc:creator>Win7x32</dc:creator>
  <dc:description/>
  <dc:language>ru-RU</dc:language>
  <cp:lastModifiedBy/>
  <cp:lastPrinted>2024-11-29T10:31:54Z</cp:lastPrinted>
  <dcterms:modified xsi:type="dcterms:W3CDTF">2024-11-29T14:41:34Z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